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24" w:rsidRDefault="00673C24" w:rsidP="00673C24">
      <w:pPr>
        <w:jc w:val="center"/>
        <w:rPr>
          <w:b/>
          <w:sz w:val="28"/>
          <w:szCs w:val="28"/>
        </w:rPr>
      </w:pPr>
      <w:r>
        <w:rPr>
          <w:b/>
          <w:sz w:val="28"/>
          <w:szCs w:val="28"/>
        </w:rPr>
        <w:t>GLOW Region Solid Waste</w:t>
      </w:r>
    </w:p>
    <w:p w:rsidR="00673C24" w:rsidRDefault="00673C24" w:rsidP="00673C24">
      <w:pPr>
        <w:jc w:val="center"/>
        <w:rPr>
          <w:b/>
          <w:sz w:val="28"/>
          <w:szCs w:val="28"/>
        </w:rPr>
      </w:pPr>
      <w:r>
        <w:rPr>
          <w:b/>
          <w:sz w:val="28"/>
          <w:szCs w:val="28"/>
        </w:rPr>
        <w:t xml:space="preserve"> Household Hazardous Waste/Pharmaceutical Collection</w:t>
      </w:r>
    </w:p>
    <w:p w:rsidR="00673C24" w:rsidRDefault="00673C24" w:rsidP="00673C24">
      <w:pPr>
        <w:jc w:val="center"/>
        <w:rPr>
          <w:b/>
          <w:sz w:val="28"/>
          <w:szCs w:val="28"/>
        </w:rPr>
      </w:pPr>
      <w:r>
        <w:rPr>
          <w:b/>
          <w:sz w:val="28"/>
          <w:szCs w:val="28"/>
        </w:rPr>
        <w:t>September 20, 2014</w:t>
      </w:r>
    </w:p>
    <w:p w:rsidR="00673C24" w:rsidRDefault="00673C24" w:rsidP="00673C24">
      <w:pPr>
        <w:jc w:val="center"/>
        <w:rPr>
          <w:b/>
          <w:bCs/>
          <w:sz w:val="28"/>
          <w:szCs w:val="28"/>
        </w:rPr>
      </w:pPr>
      <w:smartTag w:uri="urn:schemas-microsoft-com:office:smarttags" w:element="place">
        <w:smartTag w:uri="urn:schemas-microsoft-com:office:smarttags" w:element="PlaceType">
          <w:r>
            <w:rPr>
              <w:b/>
              <w:bCs/>
              <w:sz w:val="28"/>
            </w:rPr>
            <w:t>Mt.</w:t>
          </w:r>
        </w:smartTag>
        <w:r>
          <w:rPr>
            <w:b/>
            <w:bCs/>
            <w:sz w:val="28"/>
          </w:rPr>
          <w:t xml:space="preserve"> </w:t>
        </w:r>
        <w:smartTag w:uri="urn:schemas-microsoft-com:office:smarttags" w:element="PlaceName">
          <w:r>
            <w:rPr>
              <w:b/>
              <w:bCs/>
              <w:sz w:val="28"/>
            </w:rPr>
            <w:t>Morris</w:t>
          </w:r>
        </w:smartTag>
      </w:smartTag>
    </w:p>
    <w:p w:rsidR="00673C24" w:rsidRDefault="00673C24" w:rsidP="00673C24">
      <w:pPr>
        <w:tabs>
          <w:tab w:val="left" w:pos="7680"/>
        </w:tabs>
      </w:pPr>
      <w:r>
        <w:tab/>
      </w:r>
    </w:p>
    <w:p w:rsidR="00673C24" w:rsidRDefault="00673C24" w:rsidP="00673C24">
      <w:pPr>
        <w:tabs>
          <w:tab w:val="left" w:pos="7680"/>
        </w:tabs>
        <w:rPr>
          <w:b/>
        </w:rPr>
      </w:pPr>
      <w:r>
        <w:rPr>
          <w:b/>
        </w:rPr>
        <w:t>To be placed on a “Notification List” notifying you, by post card, of the collection and telling you that it is time to call to make an appointment if you want to participate in and bring materials to the event, please provide the information listed below. Please mail it or email it to the GLOW office. The number of appointments available is limited and you must make an appointment to be able to dispose of your hazardous waste and pharmaceuticals. A list of acceptable and unacceptable materials follows.</w:t>
      </w:r>
    </w:p>
    <w:p w:rsidR="00673C24" w:rsidRDefault="00673C24" w:rsidP="00673C24">
      <w:pPr>
        <w:tabs>
          <w:tab w:val="left" w:pos="7680"/>
        </w:tabs>
        <w:rPr>
          <w:b/>
        </w:rPr>
      </w:pPr>
    </w:p>
    <w:p w:rsidR="00673C24" w:rsidRDefault="00673C24" w:rsidP="00673C24">
      <w:pPr>
        <w:tabs>
          <w:tab w:val="left" w:pos="7680"/>
        </w:tabs>
        <w:rPr>
          <w:b/>
        </w:rPr>
      </w:pPr>
      <w:r>
        <w:rPr>
          <w:b/>
        </w:rPr>
        <w:t>Name:</w:t>
      </w:r>
    </w:p>
    <w:p w:rsidR="00673C24" w:rsidRDefault="00673C24" w:rsidP="00673C24">
      <w:pPr>
        <w:tabs>
          <w:tab w:val="left" w:pos="7680"/>
        </w:tabs>
        <w:rPr>
          <w:b/>
        </w:rPr>
      </w:pPr>
      <w:r>
        <w:rPr>
          <w:b/>
        </w:rPr>
        <w:t>Mailing Address:</w:t>
      </w:r>
    </w:p>
    <w:p w:rsidR="00673C24" w:rsidRDefault="00673C24" w:rsidP="00673C24">
      <w:pPr>
        <w:tabs>
          <w:tab w:val="left" w:pos="7680"/>
        </w:tabs>
        <w:rPr>
          <w:b/>
        </w:rPr>
      </w:pPr>
      <w:r>
        <w:rPr>
          <w:b/>
        </w:rPr>
        <w:t>Town:</w:t>
      </w:r>
    </w:p>
    <w:p w:rsidR="00673C24" w:rsidRDefault="00673C24" w:rsidP="00673C24">
      <w:pPr>
        <w:tabs>
          <w:tab w:val="left" w:pos="7680"/>
        </w:tabs>
        <w:rPr>
          <w:b/>
        </w:rPr>
      </w:pPr>
      <w:r>
        <w:rPr>
          <w:b/>
        </w:rPr>
        <w:t>Zip Code:</w:t>
      </w:r>
    </w:p>
    <w:p w:rsidR="00673C24" w:rsidRDefault="00673C24" w:rsidP="00673C24">
      <w:pPr>
        <w:tabs>
          <w:tab w:val="left" w:pos="7680"/>
        </w:tabs>
        <w:rPr>
          <w:b/>
        </w:rPr>
      </w:pPr>
      <w:proofErr w:type="gramStart"/>
      <w:r>
        <w:rPr>
          <w:b/>
        </w:rPr>
        <w:t>Telephone No.</w:t>
      </w:r>
      <w:proofErr w:type="gramEnd"/>
    </w:p>
    <w:p w:rsidR="00673C24" w:rsidRDefault="00673C24" w:rsidP="00673C24">
      <w:pPr>
        <w:tabs>
          <w:tab w:val="left" w:pos="7680"/>
        </w:tabs>
        <w:rPr>
          <w:b/>
        </w:rPr>
      </w:pPr>
    </w:p>
    <w:p w:rsidR="00673C24" w:rsidRDefault="00673C24" w:rsidP="00673C24">
      <w:pPr>
        <w:tabs>
          <w:tab w:val="left" w:pos="7680"/>
        </w:tabs>
        <w:rPr>
          <w:b/>
        </w:rPr>
      </w:pPr>
    </w:p>
    <w:p w:rsidR="00673C24" w:rsidRDefault="00673C24" w:rsidP="00673C24">
      <w:pPr>
        <w:tabs>
          <w:tab w:val="left" w:pos="7680"/>
        </w:tabs>
        <w:rPr>
          <w:b/>
        </w:rPr>
      </w:pPr>
      <w:r>
        <w:rPr>
          <w:b/>
        </w:rPr>
        <w:t xml:space="preserve">Please email the completed form prior to July 15 to GLOW at </w:t>
      </w:r>
      <w:hyperlink r:id="rId5" w:history="1">
        <w:r>
          <w:rPr>
            <w:rStyle w:val="Hyperlink"/>
            <w:b/>
          </w:rPr>
          <w:t>glow@co.genesee.ny.us</w:t>
        </w:r>
      </w:hyperlink>
      <w:r>
        <w:rPr>
          <w:b/>
        </w:rPr>
        <w:t xml:space="preserve"> or </w:t>
      </w:r>
      <w:hyperlink r:id="rId6" w:history="1">
        <w:r>
          <w:rPr>
            <w:rStyle w:val="Hyperlink"/>
            <w:b/>
          </w:rPr>
          <w:t>pgrayson@co.genesee.ny.us</w:t>
        </w:r>
      </w:hyperlink>
      <w:r>
        <w:rPr>
          <w:b/>
        </w:rPr>
        <w:t xml:space="preserve"> or mail it to:</w:t>
      </w:r>
    </w:p>
    <w:p w:rsidR="00673C24" w:rsidRDefault="00673C24" w:rsidP="00673C24">
      <w:pPr>
        <w:tabs>
          <w:tab w:val="left" w:pos="7680"/>
        </w:tabs>
        <w:rPr>
          <w:b/>
        </w:rPr>
      </w:pPr>
    </w:p>
    <w:p w:rsidR="00673C24" w:rsidRDefault="00673C24" w:rsidP="00673C24">
      <w:pPr>
        <w:tabs>
          <w:tab w:val="left" w:pos="7680"/>
        </w:tabs>
        <w:jc w:val="center"/>
        <w:rPr>
          <w:b/>
        </w:rPr>
      </w:pPr>
      <w:r>
        <w:rPr>
          <w:b/>
        </w:rPr>
        <w:t>GLOW Solid Waste</w:t>
      </w:r>
    </w:p>
    <w:p w:rsidR="00673C24" w:rsidRDefault="00673C24" w:rsidP="00673C24">
      <w:pPr>
        <w:tabs>
          <w:tab w:val="left" w:pos="7680"/>
        </w:tabs>
        <w:jc w:val="center"/>
        <w:rPr>
          <w:b/>
        </w:rPr>
      </w:pPr>
      <w:r>
        <w:rPr>
          <w:b/>
        </w:rPr>
        <w:t xml:space="preserve">      </w:t>
      </w:r>
      <w:smartTag w:uri="urn:schemas-microsoft-com:office:smarttags" w:element="place">
        <w:smartTag w:uri="urn:schemas-microsoft-com:office:smarttags" w:element="PlaceName">
          <w:r>
            <w:rPr>
              <w:b/>
            </w:rPr>
            <w:t>Genesee</w:t>
          </w:r>
        </w:smartTag>
        <w:r>
          <w:rPr>
            <w:b/>
          </w:rPr>
          <w:t xml:space="preserve"> </w:t>
        </w:r>
        <w:smartTag w:uri="urn:schemas-microsoft-com:office:smarttags" w:element="PlaceType">
          <w:r>
            <w:rPr>
              <w:b/>
            </w:rPr>
            <w:t>County</w:t>
          </w:r>
        </w:smartTag>
        <w:r>
          <w:rPr>
            <w:b/>
          </w:rPr>
          <w:t xml:space="preserve"> </w:t>
        </w:r>
        <w:smartTag w:uri="urn:schemas-microsoft-com:office:smarttags" w:element="PlaceName">
          <w:r>
            <w:rPr>
              <w:b/>
            </w:rPr>
            <w:t>Bldg.</w:t>
          </w:r>
        </w:smartTag>
      </w:smartTag>
      <w:r>
        <w:rPr>
          <w:b/>
        </w:rPr>
        <w:t xml:space="preserve"> 2</w:t>
      </w:r>
    </w:p>
    <w:p w:rsidR="00673C24" w:rsidRDefault="00673C24" w:rsidP="00673C24">
      <w:pPr>
        <w:tabs>
          <w:tab w:val="left" w:pos="7680"/>
        </w:tabs>
        <w:jc w:val="center"/>
        <w:rPr>
          <w:b/>
        </w:rPr>
      </w:pPr>
      <w:r>
        <w:rPr>
          <w:b/>
        </w:rPr>
        <w:t xml:space="preserve">  3837 </w:t>
      </w:r>
      <w:smartTag w:uri="urn:schemas-microsoft-com:office:smarttags" w:element="Street">
        <w:smartTag w:uri="urn:schemas-microsoft-com:office:smarttags" w:element="address">
          <w:r>
            <w:rPr>
              <w:b/>
            </w:rPr>
            <w:t>W. Main St.</w:t>
          </w:r>
        </w:smartTag>
      </w:smartTag>
      <w:r>
        <w:rPr>
          <w:b/>
        </w:rPr>
        <w:t xml:space="preserve"> Rd.</w:t>
      </w:r>
    </w:p>
    <w:p w:rsidR="00673C24" w:rsidRDefault="00673C24" w:rsidP="00673C24">
      <w:pPr>
        <w:tabs>
          <w:tab w:val="left" w:pos="7680"/>
        </w:tabs>
        <w:jc w:val="center"/>
        <w:rPr>
          <w:b/>
        </w:rPr>
      </w:pPr>
      <w:r>
        <w:rPr>
          <w:b/>
        </w:rPr>
        <w:t xml:space="preserve">       </w:t>
      </w:r>
      <w:smartTag w:uri="urn:schemas-microsoft-com:office:smarttags" w:element="place">
        <w:smartTag w:uri="urn:schemas-microsoft-com:office:smarttags" w:element="City">
          <w:r>
            <w:rPr>
              <w:b/>
            </w:rPr>
            <w:t>Batavia</w:t>
          </w:r>
        </w:smartTag>
        <w:r>
          <w:rPr>
            <w:b/>
          </w:rPr>
          <w:t xml:space="preserve">, </w:t>
        </w:r>
        <w:smartTag w:uri="urn:schemas-microsoft-com:office:smarttags" w:element="State">
          <w:r>
            <w:rPr>
              <w:b/>
            </w:rPr>
            <w:t>NY</w:t>
          </w:r>
        </w:smartTag>
        <w:r>
          <w:rPr>
            <w:b/>
          </w:rPr>
          <w:t xml:space="preserve">  </w:t>
        </w:r>
        <w:smartTag w:uri="urn:schemas-microsoft-com:office:smarttags" w:element="PostalCode">
          <w:r>
            <w:rPr>
              <w:b/>
            </w:rPr>
            <w:t>14020-9404</w:t>
          </w:r>
        </w:smartTag>
      </w:smartTag>
    </w:p>
    <w:p w:rsidR="00673C24" w:rsidRDefault="00673C24" w:rsidP="00673C24">
      <w:pPr>
        <w:tabs>
          <w:tab w:val="left" w:pos="7680"/>
        </w:tabs>
        <w:rPr>
          <w:b/>
        </w:rPr>
      </w:pPr>
    </w:p>
    <w:p w:rsidR="00673C24" w:rsidRDefault="00673C24" w:rsidP="00673C24">
      <w:pPr>
        <w:ind w:left="1620" w:firstLine="540"/>
        <w:rPr>
          <w:rFonts w:ascii="Franklin Gothic Demi" w:hAnsi="Franklin Gothic Demi"/>
        </w:rPr>
      </w:pPr>
      <w:r>
        <w:rPr>
          <w:rFonts w:ascii="Franklin Gothic Demi" w:hAnsi="Franklin Gothic Demi"/>
        </w:rPr>
        <w:t>Acceptable Materials</w:t>
      </w:r>
    </w:p>
    <w:p w:rsidR="00673C24" w:rsidRDefault="00673C24" w:rsidP="00673C24">
      <w:pPr>
        <w:ind w:left="180"/>
        <w:jc w:val="center"/>
        <w:rPr>
          <w:rFonts w:ascii="Franklin Gothic Book" w:hAnsi="Franklin Gothic Book"/>
        </w:rPr>
      </w:pP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Propane Canisters &amp; Tanks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Auto &amp; Marine Batteries</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Oil Filters &amp; Antifreeze</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Miscellaneous Vehicle Fluids</w:t>
      </w:r>
      <w:r>
        <w:rPr>
          <w:rFonts w:ascii="Franklin Gothic Book" w:hAnsi="Franklin Gothic Book"/>
          <w:sz w:val="20"/>
        </w:rPr>
        <w:tab/>
      </w:r>
      <w:r>
        <w:rPr>
          <w:rFonts w:ascii="Franklin Gothic Book" w:hAnsi="Franklin Gothic Book"/>
          <w:sz w:val="20"/>
        </w:rPr>
        <w:tab/>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Oil Base Paint &amp; Stains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Resins &amp; Adhesives</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Household Computers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Pesticides &amp; Herbicides</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Household Cleaning Products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Polish &amp; Waxes</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Solvents &amp; Corrosives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Pool &amp; Photo Chemicals</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Driveway Sealer</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Fluorescent Light Bulbs &amp; Tubes</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Full or Partially Full Aerosol Cans</w:t>
      </w:r>
      <w:r>
        <w:rPr>
          <w:rFonts w:ascii="Franklin Gothic Book" w:hAnsi="Franklin Gothic Book"/>
          <w:sz w:val="20"/>
        </w:rPr>
        <w:tab/>
      </w:r>
      <w:r>
        <w:rPr>
          <w:rFonts w:ascii="Franklin Gothic Book" w:hAnsi="Franklin Gothic Book"/>
          <w:sz w:val="20"/>
        </w:rPr>
        <w:tab/>
        <w:t>Computers and Computer Equipment</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Pharmaceuticals-OTC &amp; prescription</w:t>
      </w:r>
      <w:r>
        <w:rPr>
          <w:rFonts w:ascii="Franklin Gothic Book" w:hAnsi="Franklin Gothic Book"/>
          <w:sz w:val="20"/>
        </w:rPr>
        <w:tab/>
      </w:r>
      <w:r>
        <w:rPr>
          <w:rFonts w:ascii="Franklin Gothic Book" w:hAnsi="Franklin Gothic Book"/>
          <w:sz w:val="20"/>
        </w:rPr>
        <w:tab/>
        <w:t>Tires-For a per tire fee</w:t>
      </w:r>
    </w:p>
    <w:p w:rsidR="00673C24" w:rsidRDefault="00673C24" w:rsidP="00673C24">
      <w:pPr>
        <w:tabs>
          <w:tab w:val="left" w:pos="7680"/>
        </w:tabs>
        <w:rPr>
          <w:b/>
        </w:rPr>
      </w:pPr>
    </w:p>
    <w:p w:rsidR="00673C24" w:rsidRDefault="00673C24" w:rsidP="00673C24">
      <w:pPr>
        <w:ind w:left="1620" w:firstLine="540"/>
        <w:rPr>
          <w:rFonts w:ascii="Franklin Gothic Demi" w:hAnsi="Franklin Gothic Demi"/>
        </w:rPr>
      </w:pPr>
      <w:r>
        <w:rPr>
          <w:rFonts w:ascii="Franklin Gothic Demi" w:hAnsi="Franklin Gothic Demi"/>
        </w:rPr>
        <w:t>Unacceptable Materials</w:t>
      </w:r>
    </w:p>
    <w:p w:rsidR="00673C24" w:rsidRDefault="00673C24" w:rsidP="00673C24">
      <w:pPr>
        <w:ind w:left="180"/>
        <w:jc w:val="center"/>
        <w:rPr>
          <w:rFonts w:ascii="Franklin Gothic Book" w:hAnsi="Franklin Gothic Book"/>
          <w:sz w:val="20"/>
        </w:rPr>
      </w:pP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Latex Paint &amp; Stains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Explosives &amp; Ammunition</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PCB's &amp; Asbestos</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Infectious/Biological Waste</w:t>
      </w:r>
    </w:p>
    <w:p w:rsidR="00673C24" w:rsidRDefault="00673C24" w:rsidP="00673C24">
      <w:pPr>
        <w:spacing w:line="271" w:lineRule="auto"/>
        <w:ind w:left="187"/>
        <w:rPr>
          <w:rFonts w:ascii="Franklin Gothic Book" w:hAnsi="Franklin Gothic Book"/>
          <w:sz w:val="20"/>
        </w:rPr>
      </w:pPr>
      <w:r>
        <w:rPr>
          <w:rFonts w:ascii="Franklin Gothic Book" w:hAnsi="Franklin Gothic Book"/>
          <w:sz w:val="20"/>
        </w:rPr>
        <w:t>Pathogenic Waste</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Needles &amp; Syringes (sharps)</w:t>
      </w:r>
    </w:p>
    <w:p w:rsidR="00673C24" w:rsidRDefault="00673C24" w:rsidP="00673C24">
      <w:pPr>
        <w:tabs>
          <w:tab w:val="left" w:pos="7680"/>
        </w:tabs>
        <w:rPr>
          <w:b/>
        </w:rPr>
      </w:pPr>
      <w:r>
        <w:rPr>
          <w:rFonts w:ascii="Franklin Gothic Book" w:hAnsi="Franklin Gothic Book"/>
          <w:sz w:val="20"/>
        </w:rPr>
        <w:t xml:space="preserve">    Pressure Sensitive Reactive Material                     Empty containers</w:t>
      </w:r>
    </w:p>
    <w:p w:rsidR="00FC1344" w:rsidRDefault="00FC1344">
      <w:bookmarkStart w:id="0" w:name="_GoBack"/>
      <w:bookmarkEnd w:id="0"/>
    </w:p>
    <w:sectPr w:rsidR="00FC1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24"/>
    <w:rsid w:val="00673C24"/>
    <w:rsid w:val="00FC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C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grayson@co.genesee.ny.us" TargetMode="External"/><Relationship Id="rId5" Type="http://schemas.openxmlformats.org/officeDocument/2006/relationships/hyperlink" Target="mailto:glow@co.genesee.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McAllister</dc:creator>
  <cp:lastModifiedBy>Holly McAllister</cp:lastModifiedBy>
  <cp:revision>1</cp:revision>
  <dcterms:created xsi:type="dcterms:W3CDTF">2014-05-07T19:00:00Z</dcterms:created>
  <dcterms:modified xsi:type="dcterms:W3CDTF">2014-05-07T19:02:00Z</dcterms:modified>
</cp:coreProperties>
</file>